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04.0" w:type="dxa"/>
        <w:jc w:val="left"/>
        <w:tblInd w:w="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6"/>
        <w:gridCol w:w="6898"/>
        <w:tblGridChange w:id="0">
          <w:tblGrid>
            <w:gridCol w:w="1306"/>
            <w:gridCol w:w="68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-196847</wp:posOffset>
                  </wp:positionH>
                  <wp:positionV relativeFrom="paragraph">
                    <wp:posOffset>98425</wp:posOffset>
                  </wp:positionV>
                  <wp:extent cx="1062090" cy="832019"/>
                  <wp:effectExtent b="0" l="0" r="0" t="0"/>
                  <wp:wrapNone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90" cy="8320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Module Description/Course Syllabi</w:t>
            </w:r>
          </w:p>
          <w:p w:rsidR="00000000" w:rsidDel="00000000" w:rsidP="00000000" w:rsidRDefault="00000000" w:rsidRPr="00000000" w14:paraId="00000004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Education Study Programme</w:t>
            </w:r>
          </w:p>
          <w:p w:rsidR="00000000" w:rsidDel="00000000" w:rsidP="00000000" w:rsidRDefault="00000000" w:rsidRPr="00000000" w14:paraId="00000006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Faculty of  Languages and Arts</w:t>
            </w:r>
          </w:p>
          <w:p w:rsidR="00000000" w:rsidDel="00000000" w:rsidP="00000000" w:rsidRDefault="00000000" w:rsidRPr="00000000" w14:paraId="00000007">
            <w:pPr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Universitas Negeri Manado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Course number and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MB4222202 Pengembangan Kurikulum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Credits and contact hours/Number of ECTS credits allocated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Instructor’s and course coordinator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Nitha V.F. Liando, P.hD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Text book, title, outhor, and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Beacco, C. J., et al (2016)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 HANDBOOK FOR CURRICULUM DEVELOPMENT AND TEACHER TRAINING THE LANGUAGE DIMENSION IN ALL SUBJECTS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Council of Europe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Archer, E. (2015).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Curriculum Development Principles and Practices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New York. College Publishing House.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Westbrook, J., et al. (2013)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Pedagogy, Curriculum, Teaching Practices and Teacher Education in Developing Countries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University of London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Other supplemental materials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Specific course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Brief description of the content of the course (catalog description)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This course discusses the concept of curriculum, policies curriculum in Indonesia, the development of the history of curriculum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Prerequisiters or co-requisites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Indicate whether a required, elective, or selected elective course in the program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required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Level of course unit (according to EQF: first cycle Bachelor, second cycle Master)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 cycle Bachelor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Year of study when the course unit is delivered (if applicable)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Second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Semester/trimester when the course unit is delivered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6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Second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Mode of delivery (face-to-face, distance learning)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A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face-to-face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Specific outcomes of instruction,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ex. The student will be able to explain the significance of current research about a particular topic.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E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CPMK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Students are able to identify the psychological principles used in developing a curriculum (SO-2, PI-2.1)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Students are able to explain the contribution of psychological principles in curriculum development (SO-2, PI-2.1)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Students are able to explain techniques in developing language learning (SO-2, PI-2.2)</w:t>
            </w:r>
          </w:p>
          <w:p w:rsidR="00000000" w:rsidDel="00000000" w:rsidP="00000000" w:rsidRDefault="00000000" w:rsidRPr="00000000" w14:paraId="00000042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Students are able to describe how to provide, manage and evaluate language learning program (SO-2, PI-2.2)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Explicitly indicate which of the student outcomes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Apply the principles of language learning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apply the approaches in English Language Teaching and Learning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Brief list of topics to be covered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Theories and basic concept of curriculum development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principles of curriculum development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curriculum development mechanism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curriculum models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history of curriculum development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curriculum policies in Indonesia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curriculum design for ELT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Curriculum Problems in Indonesia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history of curriculum development in other countries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evaluation of curriculum in the learning process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6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Recommended or required reading and other learning resources/tools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8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Planned learning activities and teaching methods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C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Small group discussion, PjBL, Case based Method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E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Language of instruction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0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2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Assessment methods and criteria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Performance Assessment: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Participation and activities in the learning process (attendance, lectures and practices) 30%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Completion of tasks 30%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  <w:tab/>
              <w:t xml:space="preserve">Mid Term 20%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  <w:tab/>
              <w:t xml:space="preserve">Final Term 20%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>
        <w:b w:val="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upperLetter"/>
      <w:lvlText w:val="%1."/>
      <w:lvlJc w:val="left"/>
      <w:pPr>
        <w:ind w:left="0" w:firstLine="0"/>
      </w:pPr>
      <w:rPr>
        <w:b w:val="1"/>
        <w:i w:val="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Theme="minorHAnsi" w:cstheme="minorBidi" w:eastAsiaTheme="minorEastAsia" w:hAnsiTheme="minorHAnsi"/>
      <w:lang w:eastAsia="zh-CN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qFormat w:val="1"/>
    <w:pPr>
      <w:widowControl w:val="0"/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H+j5JF6jHhueI6xWBsC+b/QZ5g==">CgMxLjA4AHIhMUtsRG9HUmNHaWRMU2Zyb054dVY2TGEzVnNxbGRWeGpP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2022-09-08T05:48:00Z</dcterms:created>
  <dc:creator>HP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5641024F96F24BB4B8C659C0C0378EA8</vt:lpwstr>
  </property>
  <property fmtid="{D5CDD505-2E9C-101B-9397-08002B2CF9AE}" pid="4" name="KSOProductBuildVer">
    <vt:lpwstr>1033-11.2.0.10265</vt:lpwstr>
  </property>
  <property fmtid="{D5CDD505-2E9C-101B-9397-08002B2CF9AE}" pid="5" name="ICV">
    <vt:lpwstr>5641024F96F24BB4B8C659C0C0378EA8</vt:lpwstr>
  </property>
  <property fmtid="{D5CDD505-2E9C-101B-9397-08002B2CF9AE}" pid="6" name="KSOProductBuildVer">
    <vt:lpwstr>1033-11.2.0.10265</vt:lpwstr>
  </property>
  <property fmtid="{D5CDD505-2E9C-101B-9397-08002B2CF9AE}" pid="7" name="ICV">
    <vt:lpwstr>5641024F96F24BB4B8C659C0C0378EA8</vt:lpwstr>
  </property>
</Properties>
</file>